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2808" w14:textId="61EF702C" w:rsidR="00E04F50" w:rsidRPr="00E04F50" w:rsidRDefault="00845A9E" w:rsidP="00E04F50">
      <w:pPr>
        <w:rPr>
          <w:b/>
          <w:bCs/>
        </w:rPr>
      </w:pPr>
      <w:r w:rsidRPr="00E04F50">
        <w:rPr>
          <w:b/>
          <w:bCs/>
          <w:u w:val="single"/>
        </w:rPr>
        <w:t>L’Agence SCALEN est un outil d’ingénierie mutualisé</w:t>
      </w:r>
      <w:r w:rsidR="00E04F50" w:rsidRPr="00E04F50">
        <w:rPr>
          <w:b/>
          <w:bCs/>
          <w:u w:val="single"/>
        </w:rPr>
        <w:t xml:space="preserve"> au service de l’interêt commun</w:t>
      </w:r>
      <w:r w:rsidR="00E04F50">
        <w:t xml:space="preserve"> </w:t>
      </w:r>
      <w:r w:rsidR="00E04F50">
        <w:br/>
        <w:t>L’Agence</w:t>
      </w:r>
      <w:r w:rsidR="00F0582C">
        <w:t xml:space="preserve"> accompagne les décideurs (élus et acteurs de l’aménagement et du développement des territoires) dans l’élaboration et la mise en oeuvre de leurs projets et de leurs politiques </w:t>
      </w:r>
      <w:r w:rsidR="00F0582C" w:rsidRPr="00E04F50">
        <w:t>publiques</w:t>
      </w:r>
      <w:r w:rsidR="00E04F50" w:rsidRPr="00E04F50">
        <w:t>, en faveur de stratégies et d’actions convergentes</w:t>
      </w:r>
      <w:r w:rsidR="00E04F50">
        <w:t>.</w:t>
      </w:r>
    </w:p>
    <w:p w14:paraId="0BF910DF" w14:textId="77777777" w:rsidR="00E04F50" w:rsidRDefault="00E04F50" w:rsidP="00845A9E"/>
    <w:p w14:paraId="4AFA1093" w14:textId="7926C5ED" w:rsidR="00F0582C" w:rsidRPr="00E04F50" w:rsidRDefault="00F0582C" w:rsidP="00845A9E">
      <w:pPr>
        <w:rPr>
          <w:b/>
          <w:bCs/>
          <w:u w:val="single"/>
        </w:rPr>
      </w:pPr>
      <w:r w:rsidRPr="00E04F50">
        <w:rPr>
          <w:b/>
          <w:bCs/>
          <w:u w:val="single"/>
        </w:rPr>
        <w:t>L’Agence n’est pas un prestat</w:t>
      </w:r>
      <w:r w:rsidR="00E04F50">
        <w:rPr>
          <w:b/>
          <w:bCs/>
          <w:u w:val="single"/>
        </w:rPr>
        <w:t>a</w:t>
      </w:r>
      <w:r w:rsidRPr="00E04F50">
        <w:rPr>
          <w:b/>
          <w:bCs/>
          <w:u w:val="single"/>
        </w:rPr>
        <w:t>ire mais un partenaire</w:t>
      </w:r>
    </w:p>
    <w:p w14:paraId="0F9334C6" w14:textId="273FED0C" w:rsidR="00E04F50" w:rsidRDefault="00E04F50" w:rsidP="00E04F50">
      <w:r>
        <w:t xml:space="preserve">L’Agence travaille en étroite collaboration avec les services des collectivités et les bureaux d’études qu’elles sollicitent. Outil pérrenne, </w:t>
      </w:r>
      <w:r w:rsidR="00835C4C">
        <w:t>Scalen</w:t>
      </w:r>
      <w:r>
        <w:t xml:space="preserve"> capitalise tous les travaux réalisés et </w:t>
      </w:r>
      <w:r w:rsidR="00835C4C">
        <w:t xml:space="preserve">en </w:t>
      </w:r>
      <w:r>
        <w:t>exploite les résultats</w:t>
      </w:r>
      <w:r w:rsidR="00835C4C">
        <w:t>, au service de ses membres.</w:t>
      </w:r>
    </w:p>
    <w:p w14:paraId="6B862F43" w14:textId="1EBBC075" w:rsidR="00E04F50" w:rsidRPr="00E04F50" w:rsidRDefault="00E04F50" w:rsidP="00E04F50">
      <w:pPr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L’élaboration de s</w:t>
      </w:r>
      <w:r w:rsidRPr="00E04F50">
        <w:rPr>
          <w:b/>
          <w:bCs/>
          <w:u w:val="single"/>
        </w:rPr>
        <w:t xml:space="preserve">on programme de travail est </w:t>
      </w:r>
      <w:r>
        <w:rPr>
          <w:b/>
          <w:bCs/>
          <w:u w:val="single"/>
        </w:rPr>
        <w:t>partenarial</w:t>
      </w:r>
    </w:p>
    <w:p w14:paraId="27AEBE94" w14:textId="15682567" w:rsidR="00136649" w:rsidRDefault="00E04F50" w:rsidP="00835C4C">
      <w:r>
        <w:t xml:space="preserve">Le PPA (Programme Partenarial d’Activités) est construit à partir des besoins exprimés par ses membres et des sujets à enjeux proposés par l’Agence. Il est validé en </w:t>
      </w:r>
      <w:r w:rsidR="00136649">
        <w:t>Conseil d’admin</w:t>
      </w:r>
      <w:r w:rsidR="00637E79">
        <w:t>i</w:t>
      </w:r>
      <w:r w:rsidR="00136649">
        <w:t>stration</w:t>
      </w:r>
      <w:r>
        <w:t xml:space="preserve">. </w:t>
      </w:r>
    </w:p>
    <w:p w14:paraId="3EA6DFFA" w14:textId="47F7C67B" w:rsidR="00136649" w:rsidRDefault="00835C4C" w:rsidP="00835C4C">
      <w:r>
        <w:t xml:space="preserve">Les membres apportent leurs financements pour le mettre en œuvre. </w:t>
      </w:r>
      <w:r w:rsidR="00136649">
        <w:t>Le conventionnement validé dans les instances des membres doit impérativement préciser le caractère partenarial du programme de travail de Scalen.</w:t>
      </w:r>
    </w:p>
    <w:p w14:paraId="03B969BB" w14:textId="1466DDA3" w:rsidR="00835C4C" w:rsidRPr="00835C4C" w:rsidRDefault="00835C4C" w:rsidP="00835C4C">
      <w:pPr>
        <w:rPr>
          <w:b/>
          <w:bCs/>
          <w:u w:val="single"/>
        </w:rPr>
      </w:pPr>
      <w:r>
        <w:br/>
      </w:r>
      <w:r w:rsidRPr="00835C4C">
        <w:rPr>
          <w:b/>
          <w:bCs/>
          <w:u w:val="single"/>
        </w:rPr>
        <w:t>Le PPA est en dehors de la commande publique et n’est pas soumis à la TVA</w:t>
      </w:r>
    </w:p>
    <w:p w14:paraId="1B887CC9" w14:textId="5921DF4A" w:rsidR="00835C4C" w:rsidRDefault="00835C4C" w:rsidP="00835C4C">
      <w:r>
        <w:t>Toutes les missions relevant du partenariat ne sont pas soumises à la TVA et sont conduites par l'Agence sans que ses membres ne soient obligés de procéder à une mise en concurrence.</w:t>
      </w:r>
    </w:p>
    <w:p w14:paraId="1A0D3139" w14:textId="711D91D8" w:rsidR="00835C4C" w:rsidRPr="00E04F50" w:rsidRDefault="00835C4C" w:rsidP="00835C4C">
      <w:pPr>
        <w:rPr>
          <w:b/>
          <w:bCs/>
          <w:u w:val="single"/>
        </w:rPr>
      </w:pPr>
      <w:r>
        <w:rPr>
          <w:b/>
          <w:bCs/>
          <w:u w:val="single"/>
        </w:rPr>
        <w:br/>
        <w:t xml:space="preserve">Tous les membres de l’Agence ont accès aux </w:t>
      </w:r>
      <w:r w:rsidRPr="00E04F50">
        <w:rPr>
          <w:b/>
          <w:bCs/>
          <w:u w:val="single"/>
        </w:rPr>
        <w:t xml:space="preserve">livrables </w:t>
      </w:r>
      <w:r>
        <w:rPr>
          <w:b/>
          <w:bCs/>
          <w:u w:val="single"/>
        </w:rPr>
        <w:t xml:space="preserve">réalisés dans le cadre </w:t>
      </w:r>
      <w:r w:rsidRPr="00E04F50">
        <w:rPr>
          <w:b/>
          <w:bCs/>
          <w:u w:val="single"/>
        </w:rPr>
        <w:t xml:space="preserve">du PPA </w:t>
      </w:r>
    </w:p>
    <w:p w14:paraId="49FD6B60" w14:textId="205385BF" w:rsidR="00835C4C" w:rsidRDefault="00835C4C" w:rsidP="00845A9E">
      <w:r>
        <w:t>Toutes les productions de l’Agence sont disponibles dans l’espace sécurisé sur le site web de l’Agence.</w:t>
      </w:r>
    </w:p>
    <w:p w14:paraId="3131B4DB" w14:textId="77777777" w:rsidR="00835C4C" w:rsidRPr="00835C4C" w:rsidRDefault="00835C4C" w:rsidP="00835C4C">
      <w:pPr>
        <w:rPr>
          <w:b/>
          <w:bCs/>
          <w:u w:val="single"/>
        </w:rPr>
      </w:pPr>
      <w:r>
        <w:br/>
      </w:r>
      <w:r w:rsidRPr="00835C4C">
        <w:rPr>
          <w:b/>
          <w:bCs/>
          <w:u w:val="single"/>
        </w:rPr>
        <w:t>L’Agence peut aussi être saisie contractuellement</w:t>
      </w:r>
    </w:p>
    <w:p w14:paraId="3F5AE896" w14:textId="2B321B36" w:rsidR="00835C4C" w:rsidRDefault="00835C4C" w:rsidP="00835C4C">
      <w:r>
        <w:t>Le PPA constitue l’essentiel de son activité. Toutefois, des missions plus ciblées (dont l’objet est moins partenarial) peuvent être réalisées par l’Agence pour le compte d’un membres ou d’un non-membre.</w:t>
      </w:r>
    </w:p>
    <w:p w14:paraId="68E6C50C" w14:textId="5BA3B4B7" w:rsidR="00835C4C" w:rsidRDefault="00EA1EFC" w:rsidP="00845A9E">
      <w:r>
        <w:br/>
      </w:r>
    </w:p>
    <w:p w14:paraId="5638F3D7" w14:textId="77777777" w:rsidR="00835C4C" w:rsidRDefault="00835C4C" w:rsidP="00845A9E"/>
    <w:p w14:paraId="113B602C" w14:textId="77777777" w:rsidR="00845A9E" w:rsidRDefault="00845A9E"/>
    <w:p w14:paraId="4CD51320" w14:textId="77777777" w:rsidR="00845A9E" w:rsidRDefault="00845A9E"/>
    <w:p w14:paraId="5C7B585E" w14:textId="77777777" w:rsidR="00845A9E" w:rsidRDefault="00845A9E"/>
    <w:p w14:paraId="4CFCF044" w14:textId="77777777" w:rsidR="00845A9E" w:rsidRDefault="00845A9E"/>
    <w:p w14:paraId="399AFE94" w14:textId="77777777" w:rsidR="00845A9E" w:rsidRDefault="00845A9E"/>
    <w:p w14:paraId="47DC6D29" w14:textId="77777777" w:rsidR="00845A9E" w:rsidRDefault="00845A9E"/>
    <w:p w14:paraId="3FA6C973" w14:textId="77777777" w:rsidR="00845A9E" w:rsidRDefault="00845A9E"/>
    <w:p w14:paraId="001E6A59" w14:textId="51F36616" w:rsidR="00845A9E" w:rsidRDefault="00845A9E">
      <w:r>
        <w:t>___________________________________</w:t>
      </w:r>
    </w:p>
    <w:p w14:paraId="54588265" w14:textId="77777777" w:rsidR="00845A9E" w:rsidRDefault="00845A9E"/>
    <w:p w14:paraId="7872DA9E" w14:textId="77777777" w:rsidR="00845A9E" w:rsidRDefault="00845A9E" w:rsidP="00845A9E">
      <w:r>
        <w:t>Nourritures terrestres</w:t>
      </w:r>
      <w:r>
        <w:br/>
        <w:t>Nourritures intellectuelles / cérébrales / spirituelles</w:t>
      </w:r>
    </w:p>
    <w:p w14:paraId="6939DBA1" w14:textId="77777777" w:rsidR="00845A9E" w:rsidRDefault="00845A9E" w:rsidP="00845A9E">
      <w:r>
        <w:t>Par le Menu</w:t>
      </w:r>
    </w:p>
    <w:p w14:paraId="6BAB8F9E" w14:textId="77777777" w:rsidR="00845A9E" w:rsidRDefault="00845A9E" w:rsidP="00845A9E">
      <w:r>
        <w:t>La faim des 50 ans</w:t>
      </w:r>
    </w:p>
    <w:p w14:paraId="2FB1A253" w14:textId="77777777" w:rsidR="00845A9E" w:rsidRDefault="00845A9E" w:rsidP="00845A9E">
      <w:r>
        <w:t>Plaisir de la table, plaisir d’apprendre</w:t>
      </w:r>
      <w:r>
        <w:br/>
      </w:r>
    </w:p>
    <w:p w14:paraId="4CAD22CB" w14:textId="77777777" w:rsidR="00845A9E" w:rsidRDefault="00845A9E" w:rsidP="00845A9E">
      <w:r>
        <w:t>Le menu des 50 ans</w:t>
      </w:r>
      <w:r>
        <w:br/>
        <w:t>Plaisir de la table, plaisir de débattre, plaisir d’apprendre</w:t>
      </w:r>
    </w:p>
    <w:p w14:paraId="291C9B04" w14:textId="77777777" w:rsidR="00845A9E" w:rsidRDefault="00845A9E" w:rsidP="00845A9E"/>
    <w:p w14:paraId="4973B70D" w14:textId="77777777" w:rsidR="00845A9E" w:rsidRDefault="00845A9E" w:rsidP="00845A9E">
      <w:r>
        <w:t>Parcours gustatif dns le sud Lorraine</w:t>
      </w:r>
      <w:r>
        <w:br/>
      </w:r>
    </w:p>
    <w:p w14:paraId="2A401BAF" w14:textId="77777777" w:rsidR="00845A9E" w:rsidRDefault="00845A9E"/>
    <w:sectPr w:rsidR="0084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1B"/>
    <w:rsid w:val="00136649"/>
    <w:rsid w:val="00456AD6"/>
    <w:rsid w:val="004B0F02"/>
    <w:rsid w:val="00637E79"/>
    <w:rsid w:val="00835C4C"/>
    <w:rsid w:val="00845A9E"/>
    <w:rsid w:val="00933008"/>
    <w:rsid w:val="009C7547"/>
    <w:rsid w:val="00C6048C"/>
    <w:rsid w:val="00E04F50"/>
    <w:rsid w:val="00EA1EFC"/>
    <w:rsid w:val="00EB3E1B"/>
    <w:rsid w:val="00F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9A73"/>
  <w15:chartTrackingRefBased/>
  <w15:docId w15:val="{9791D8F4-708F-4ECC-9535-8B2265A3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E"/>
  </w:style>
  <w:style w:type="paragraph" w:styleId="Titre1">
    <w:name w:val="heading 1"/>
    <w:basedOn w:val="Normal"/>
    <w:next w:val="Normal"/>
    <w:link w:val="Titre1Car"/>
    <w:uiPriority w:val="9"/>
    <w:qFormat/>
    <w:rsid w:val="00EB3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3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3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3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3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3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3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3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3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3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3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3E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3E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3E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3E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3E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3E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3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3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3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3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3E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3E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3E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3E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3E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Priscilla</dc:creator>
  <cp:keywords/>
  <dc:description/>
  <cp:lastModifiedBy>PIERRE Priscilla</cp:lastModifiedBy>
  <cp:revision>5</cp:revision>
  <dcterms:created xsi:type="dcterms:W3CDTF">2025-06-06T13:25:00Z</dcterms:created>
  <dcterms:modified xsi:type="dcterms:W3CDTF">2025-06-06T15:03:00Z</dcterms:modified>
</cp:coreProperties>
</file>